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11" w:leftChars="-53" w:firstLine="109" w:firstLineChars="39"/>
        <w:jc w:val="left"/>
        <w:rPr>
          <w:rFonts w:ascii="宋体" w:hAnsi="宋体"/>
          <w:sz w:val="32"/>
          <w:szCs w:val="32"/>
        </w:rPr>
      </w:pPr>
      <w:r>
        <w:rPr>
          <w:rFonts w:ascii="宋体" w:hAnsi="宋体"/>
          <w:sz w:val="28"/>
          <w:szCs w:val="28"/>
          <w:shd w:val="clear" w:color="auto" w:fill="FFFFFF"/>
        </w:rPr>
        <w:t>附件二：</w:t>
      </w:r>
      <w:r>
        <w:rPr>
          <w:rFonts w:hint="eastAsia" w:ascii="宋体" w:hAnsi="宋体"/>
          <w:sz w:val="32"/>
          <w:szCs w:val="32"/>
        </w:rPr>
        <w:t>珠海科技学院普通专升本招生考试大纲</w:t>
      </w:r>
    </w:p>
    <w:p>
      <w:pPr>
        <w:spacing w:line="360" w:lineRule="auto"/>
        <w:jc w:val="both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珠海科技学院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32"/>
        </w:rPr>
        <w:t>年普通专升本招生入学考试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物流管理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物流工程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》专业考试大纲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考试科目名称：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物流学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一、考试的内容、要求和目的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、考试内容：</w:t>
      </w:r>
      <w:r>
        <w:rPr>
          <w:rFonts w:ascii="宋体" w:hAnsi="宋体"/>
          <w:b/>
          <w:sz w:val="24"/>
          <w:szCs w:val="24"/>
        </w:rPr>
        <w:t xml:space="preserve"> 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3402"/>
        <w:gridCol w:w="1418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章节内容</w:t>
            </w: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考核知识点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考核比重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第一章  导论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物流学科专业的发展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2.5%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第二章  物流的基础概念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物流概念的产生和发展的历史阶段</w:t>
            </w:r>
          </w:p>
          <w:p>
            <w:pPr>
              <w:pStyle w:val="13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物流的分类方式</w:t>
            </w:r>
          </w:p>
          <w:p>
            <w:pPr>
              <w:pStyle w:val="13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物流的基本功能要素</w:t>
            </w:r>
          </w:p>
          <w:p>
            <w:pPr>
              <w:pStyle w:val="13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物流在社会经济发展中的地位与作用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第三章  物流学的学科体系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3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物流学的研究对象、领域与内容</w:t>
            </w:r>
          </w:p>
          <w:p>
            <w:pPr>
              <w:pStyle w:val="13"/>
              <w:numPr>
                <w:ilvl w:val="0"/>
                <w:numId w:val="3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物流学理论的主要观点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第四章  物流系统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4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物流系统的特征、要素</w:t>
            </w:r>
          </w:p>
          <w:p>
            <w:pPr>
              <w:pStyle w:val="13"/>
              <w:numPr>
                <w:ilvl w:val="0"/>
                <w:numId w:val="4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区域物流节点的层次</w:t>
            </w:r>
          </w:p>
          <w:p>
            <w:pPr>
              <w:pStyle w:val="13"/>
              <w:numPr>
                <w:ilvl w:val="0"/>
                <w:numId w:val="4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物流系统分析的概念、原则、步骤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第五章  企业物流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5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企业物流的特点、分类、功能</w:t>
            </w:r>
          </w:p>
          <w:p>
            <w:pPr>
              <w:pStyle w:val="13"/>
              <w:numPr>
                <w:ilvl w:val="0"/>
                <w:numId w:val="5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企业销售物流的管理环节和配送需求计划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第六章  物流作业系统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6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影响运输方式选择的因素和运输合理化</w:t>
            </w:r>
          </w:p>
          <w:p>
            <w:pPr>
              <w:pStyle w:val="13"/>
              <w:numPr>
                <w:ilvl w:val="0"/>
                <w:numId w:val="6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仓储作业流程和库存管理</w:t>
            </w:r>
          </w:p>
          <w:p>
            <w:pPr>
              <w:pStyle w:val="13"/>
              <w:numPr>
                <w:ilvl w:val="0"/>
                <w:numId w:val="6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包装的功能、技术和方法</w:t>
            </w:r>
          </w:p>
          <w:p>
            <w:pPr>
              <w:pStyle w:val="13"/>
              <w:numPr>
                <w:ilvl w:val="0"/>
                <w:numId w:val="6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装卸搬运特点、方式和合理化</w:t>
            </w:r>
          </w:p>
          <w:p>
            <w:pPr>
              <w:pStyle w:val="13"/>
              <w:numPr>
                <w:ilvl w:val="0"/>
                <w:numId w:val="6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流通加工合理化的方法</w:t>
            </w:r>
          </w:p>
          <w:p>
            <w:pPr>
              <w:pStyle w:val="13"/>
              <w:numPr>
                <w:ilvl w:val="0"/>
                <w:numId w:val="6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配送的概念、模式及其选择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b/>
                <w:bCs/>
              </w:rPr>
              <w:t>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第七章  物流信息系统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7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物流信息系统的内涵</w:t>
            </w:r>
          </w:p>
          <w:p>
            <w:pPr>
              <w:pStyle w:val="13"/>
              <w:numPr>
                <w:ilvl w:val="0"/>
                <w:numId w:val="7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几种主要的现代物流信息</w:t>
            </w:r>
          </w:p>
          <w:p>
            <w:pPr>
              <w:spacing w:line="40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技术</w:t>
            </w:r>
          </w:p>
          <w:p>
            <w:pPr>
              <w:pStyle w:val="13"/>
              <w:numPr>
                <w:ilvl w:val="0"/>
                <w:numId w:val="7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物流信息技术对物流发展</w:t>
            </w:r>
          </w:p>
          <w:p>
            <w:pPr>
              <w:spacing w:line="400" w:lineRule="exact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的作用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第八章  第三方物流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8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物流外包的优势与风险、外</w:t>
            </w:r>
          </w:p>
          <w:p>
            <w:pPr>
              <w:spacing w:line="40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包模式</w:t>
            </w:r>
          </w:p>
          <w:p>
            <w:pPr>
              <w:pStyle w:val="13"/>
              <w:numPr>
                <w:ilvl w:val="0"/>
                <w:numId w:val="8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第三方物流的内涵、价值和</w:t>
            </w:r>
          </w:p>
          <w:p>
            <w:pPr>
              <w:spacing w:line="400" w:lineRule="exact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运作模式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第九章  供应链管理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9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供应链的概念、特征</w:t>
            </w:r>
          </w:p>
          <w:p>
            <w:pPr>
              <w:pStyle w:val="13"/>
              <w:numPr>
                <w:ilvl w:val="0"/>
                <w:numId w:val="9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供应链管理的内容</w:t>
            </w:r>
          </w:p>
          <w:p>
            <w:pPr>
              <w:pStyle w:val="13"/>
              <w:numPr>
                <w:ilvl w:val="0"/>
                <w:numId w:val="9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供应链的集成管理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第十章  物流金融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10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物流金融的概念、模式</w:t>
            </w:r>
          </w:p>
          <w:p>
            <w:pPr>
              <w:pStyle w:val="13"/>
              <w:numPr>
                <w:ilvl w:val="0"/>
                <w:numId w:val="10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物流金融发展趋势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第十一章物流服务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11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物流服务的内容、方式</w:t>
            </w:r>
          </w:p>
          <w:p>
            <w:pPr>
              <w:pStyle w:val="13"/>
              <w:numPr>
                <w:ilvl w:val="0"/>
                <w:numId w:val="11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物流服务水平的策略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第十二章 物流市场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12"/>
              </w:numPr>
              <w:spacing w:line="400" w:lineRule="exact"/>
              <w:ind w:firstLine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物流市场的容量与结构</w:t>
            </w:r>
          </w:p>
          <w:p>
            <w:pPr>
              <w:pStyle w:val="13"/>
              <w:numPr>
                <w:ilvl w:val="0"/>
                <w:numId w:val="12"/>
              </w:numPr>
              <w:spacing w:line="400" w:lineRule="exact"/>
              <w:ind w:firstLineChars="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物流市场的运行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2.5%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第十三章 物流产业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13"/>
              </w:numPr>
              <w:spacing w:line="400" w:lineRule="exact"/>
              <w:ind w:firstLine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物流产业的特点</w:t>
            </w:r>
          </w:p>
          <w:p>
            <w:pPr>
              <w:pStyle w:val="13"/>
              <w:numPr>
                <w:ilvl w:val="0"/>
                <w:numId w:val="13"/>
              </w:numPr>
              <w:spacing w:line="400" w:lineRule="exact"/>
              <w:ind w:firstLineChars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影响区域物流产业的因素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2.5%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第十四章 区域物流与城市物流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14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区域物流和城市物流的运作模式及内涵</w:t>
            </w:r>
          </w:p>
          <w:p>
            <w:pPr>
              <w:pStyle w:val="13"/>
              <w:numPr>
                <w:ilvl w:val="0"/>
                <w:numId w:val="14"/>
              </w:numPr>
              <w:spacing w:line="400" w:lineRule="exact"/>
              <w:ind w:firstLineChars="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城市物流系统的结构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第十五章 国际物流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15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国际物流系统的要素及运</w:t>
            </w:r>
          </w:p>
          <w:p>
            <w:pPr>
              <w:pStyle w:val="13"/>
              <w:numPr>
                <w:ilvl w:val="0"/>
                <w:numId w:val="15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行方式</w:t>
            </w:r>
          </w:p>
          <w:p>
            <w:pPr>
              <w:pStyle w:val="13"/>
              <w:numPr>
                <w:ilvl w:val="0"/>
                <w:numId w:val="15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国际物流节点和网络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5%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第十六章 当代物流前沿</w:t>
            </w:r>
          </w:p>
        </w:tc>
        <w:tc>
          <w:tcPr>
            <w:tcW w:w="3402" w:type="dxa"/>
            <w:vAlign w:val="center"/>
          </w:tcPr>
          <w:p>
            <w:pPr>
              <w:pStyle w:val="13"/>
              <w:numPr>
                <w:ilvl w:val="0"/>
                <w:numId w:val="16"/>
              </w:numPr>
              <w:spacing w:line="400" w:lineRule="exact"/>
              <w:ind w:firstLine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绿色物流的内涵和特点</w:t>
            </w:r>
          </w:p>
          <w:p>
            <w:pPr>
              <w:pStyle w:val="13"/>
              <w:numPr>
                <w:ilvl w:val="0"/>
                <w:numId w:val="16"/>
              </w:numPr>
              <w:spacing w:line="400" w:lineRule="exact"/>
              <w:ind w:firstLine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电子商务物流的内涵和特点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、考试的要求和目的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试题考核知识点应能反映本学科、本专业主干课程的主要内容和要求；应能测试考生是否具有插班就读的基本能力；应能从中选拔出优秀的专科毕业生。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试题的难易程度适中，区分度能体现选拔性考试的特点。</w:t>
      </w:r>
    </w:p>
    <w:p>
      <w:pPr>
        <w:widowControl/>
        <w:shd w:val="clear" w:color="auto" w:fill="FFFFFF"/>
        <w:wordWrap w:val="0"/>
        <w:spacing w:line="360" w:lineRule="atLeast"/>
        <w:ind w:left="273" w:hanging="273" w:hangingChars="97"/>
        <w:jc w:val="left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8"/>
          <w:szCs w:val="28"/>
        </w:rPr>
        <w:t>二</w:t>
      </w:r>
      <w:r>
        <w:rPr>
          <w:rFonts w:ascii="宋体" w:hAnsi="宋体"/>
          <w:b/>
          <w:kern w:val="0"/>
          <w:sz w:val="28"/>
          <w:szCs w:val="28"/>
        </w:rPr>
        <w:t xml:space="preserve">、考试的形式和结构 </w:t>
      </w:r>
    </w:p>
    <w:p>
      <w:pPr>
        <w:widowControl/>
        <w:shd w:val="clear" w:color="auto" w:fill="FFFFFF"/>
        <w:wordWrap w:val="0"/>
        <w:spacing w:line="360" w:lineRule="atLeast"/>
        <w:ind w:left="233" w:leftChars="111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1、考核形式：闭卷</w:t>
      </w:r>
    </w:p>
    <w:p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2、考试时间：150分钟</w:t>
      </w:r>
    </w:p>
    <w:p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3、试卷题型：单项选择题、多项选择题、判断对错题、简答题、论述题、案例分析题</w:t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三、教材及教学参考书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《物流学》，舒辉，机械工业出版社，2015年4月，ISBN 978-7-111-49905-3。</w:t>
      </w:r>
    </w:p>
    <w:p>
      <w:pPr>
        <w:spacing w:line="360" w:lineRule="auto"/>
        <w:rPr>
          <w:rFonts w:ascii="宋体" w:hAnsi="宋体"/>
        </w:rPr>
      </w:pPr>
    </w:p>
    <w:p/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D25BC"/>
    <w:multiLevelType w:val="multilevel"/>
    <w:tmpl w:val="1DBD25B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1C10E7"/>
    <w:multiLevelType w:val="multilevel"/>
    <w:tmpl w:val="201C10E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453DC9"/>
    <w:multiLevelType w:val="multilevel"/>
    <w:tmpl w:val="20453DC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72209F"/>
    <w:multiLevelType w:val="multilevel"/>
    <w:tmpl w:val="2D72209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3C26A9"/>
    <w:multiLevelType w:val="multilevel"/>
    <w:tmpl w:val="343C26A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9A19F8"/>
    <w:multiLevelType w:val="multilevel"/>
    <w:tmpl w:val="359A19F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AF04336"/>
    <w:multiLevelType w:val="multilevel"/>
    <w:tmpl w:val="3AF04336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9725CD9"/>
    <w:multiLevelType w:val="multilevel"/>
    <w:tmpl w:val="49725CD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A4D08C9"/>
    <w:multiLevelType w:val="multilevel"/>
    <w:tmpl w:val="5A4D08C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D2779E2"/>
    <w:multiLevelType w:val="multilevel"/>
    <w:tmpl w:val="5D2779E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0C8186E"/>
    <w:multiLevelType w:val="multilevel"/>
    <w:tmpl w:val="60C8186E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3771D9A"/>
    <w:multiLevelType w:val="multilevel"/>
    <w:tmpl w:val="63771D9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5105A34"/>
    <w:multiLevelType w:val="multilevel"/>
    <w:tmpl w:val="65105A3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7027BD2"/>
    <w:multiLevelType w:val="multilevel"/>
    <w:tmpl w:val="67027BD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74F1A6F"/>
    <w:multiLevelType w:val="multilevel"/>
    <w:tmpl w:val="674F1A6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D2A241F"/>
    <w:multiLevelType w:val="multilevel"/>
    <w:tmpl w:val="6D2A241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0"/>
  </w:num>
  <w:num w:numId="7">
    <w:abstractNumId w:val="6"/>
  </w:num>
  <w:num w:numId="8">
    <w:abstractNumId w:val="13"/>
  </w:num>
  <w:num w:numId="9">
    <w:abstractNumId w:val="5"/>
  </w:num>
  <w:num w:numId="10">
    <w:abstractNumId w:val="10"/>
  </w:num>
  <w:num w:numId="11">
    <w:abstractNumId w:val="15"/>
  </w:num>
  <w:num w:numId="12">
    <w:abstractNumId w:val="7"/>
  </w:num>
  <w:num w:numId="13">
    <w:abstractNumId w:val="1"/>
  </w:num>
  <w:num w:numId="14">
    <w:abstractNumId w:val="14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MDA2MTMzOTg2YTFiZjEyOGEzOTQyMmJiZmJhMGEifQ=="/>
  </w:docVars>
  <w:rsids>
    <w:rsidRoot w:val="00243E94"/>
    <w:rsid w:val="000041E2"/>
    <w:rsid w:val="000416A6"/>
    <w:rsid w:val="000E2B38"/>
    <w:rsid w:val="00121254"/>
    <w:rsid w:val="00197430"/>
    <w:rsid w:val="001A3564"/>
    <w:rsid w:val="001D3C14"/>
    <w:rsid w:val="001F401E"/>
    <w:rsid w:val="002425A7"/>
    <w:rsid w:val="00243262"/>
    <w:rsid w:val="00243E94"/>
    <w:rsid w:val="002A5D1A"/>
    <w:rsid w:val="002C7CC2"/>
    <w:rsid w:val="00365CD3"/>
    <w:rsid w:val="003D5866"/>
    <w:rsid w:val="003F7AA4"/>
    <w:rsid w:val="004136C7"/>
    <w:rsid w:val="004504FD"/>
    <w:rsid w:val="004806B5"/>
    <w:rsid w:val="004A259C"/>
    <w:rsid w:val="004A4895"/>
    <w:rsid w:val="00501197"/>
    <w:rsid w:val="00543448"/>
    <w:rsid w:val="005450B6"/>
    <w:rsid w:val="00571E5C"/>
    <w:rsid w:val="00572B16"/>
    <w:rsid w:val="005F3F56"/>
    <w:rsid w:val="00727CCC"/>
    <w:rsid w:val="00745BC0"/>
    <w:rsid w:val="00771797"/>
    <w:rsid w:val="00776EA7"/>
    <w:rsid w:val="0079337A"/>
    <w:rsid w:val="007B1C3B"/>
    <w:rsid w:val="007B62AD"/>
    <w:rsid w:val="007E7ADB"/>
    <w:rsid w:val="00806D59"/>
    <w:rsid w:val="008B6046"/>
    <w:rsid w:val="008C5DFC"/>
    <w:rsid w:val="00955E31"/>
    <w:rsid w:val="00987FB0"/>
    <w:rsid w:val="009953ED"/>
    <w:rsid w:val="00BA5863"/>
    <w:rsid w:val="00C17E73"/>
    <w:rsid w:val="00C2342F"/>
    <w:rsid w:val="00D471C2"/>
    <w:rsid w:val="00D639D1"/>
    <w:rsid w:val="00D65510"/>
    <w:rsid w:val="00D7129D"/>
    <w:rsid w:val="00E27D5B"/>
    <w:rsid w:val="00E90114"/>
    <w:rsid w:val="00EA0478"/>
    <w:rsid w:val="00F25E53"/>
    <w:rsid w:val="00FB49CD"/>
    <w:rsid w:val="01CB0C54"/>
    <w:rsid w:val="064E48E4"/>
    <w:rsid w:val="13B96F2E"/>
    <w:rsid w:val="142931DD"/>
    <w:rsid w:val="2FDA3E5C"/>
    <w:rsid w:val="31C463A9"/>
    <w:rsid w:val="47240997"/>
    <w:rsid w:val="515B104B"/>
    <w:rsid w:val="6E826B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正文文本缩进 Char"/>
    <w:basedOn w:val="8"/>
    <w:link w:val="3"/>
    <w:autoRedefine/>
    <w:qFormat/>
    <w:uiPriority w:val="0"/>
    <w:rPr>
      <w:kern w:val="2"/>
      <w:sz w:val="21"/>
      <w:szCs w:val="2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212</Words>
  <Characters>1209</Characters>
  <Lines>10</Lines>
  <Paragraphs>2</Paragraphs>
  <TotalTime>309</TotalTime>
  <ScaleCrop>false</ScaleCrop>
  <LinksUpToDate>false</LinksUpToDate>
  <CharactersWithSpaces>1419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2018-11-27T01:29:00Z</dcterms:created>
  <dc:creator>China</dc:creator>
  <cp:lastModifiedBy>宏志</cp:lastModifiedBy>
  <dcterms:modified xsi:type="dcterms:W3CDTF">2023-12-28T08:40:15Z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CA227B27F5354CB2B351DC50584B9F37_13</vt:lpwstr>
  </property>
</Properties>
</file>